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78CF28" w14:textId="77777777" w:rsidR="00EB4C48" w:rsidRDefault="00EB4C48" w:rsidP="00C016C8">
      <w:pPr>
        <w:spacing w:after="0"/>
        <w:rPr>
          <w:sz w:val="32"/>
        </w:rPr>
      </w:pPr>
      <w:r w:rsidRPr="00EB4C48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5C83E26" wp14:editId="3E0501AF">
            <wp:simplePos x="0" y="0"/>
            <wp:positionH relativeFrom="column">
              <wp:posOffset>3957955</wp:posOffset>
            </wp:positionH>
            <wp:positionV relativeFrom="paragraph">
              <wp:posOffset>-433070</wp:posOffset>
            </wp:positionV>
            <wp:extent cx="1903730" cy="476250"/>
            <wp:effectExtent l="19050" t="0" r="1270" b="0"/>
            <wp:wrapSquare wrapText="bothSides"/>
            <wp:docPr id="2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019C3" w14:textId="3AB932CE" w:rsidR="00EB4C48" w:rsidRPr="00756664" w:rsidRDefault="00EB4C48" w:rsidP="00EB4C48">
      <w:pPr>
        <w:rPr>
          <w:rFonts w:ascii="Helvetica" w:hAnsi="Helvetica" w:cs="Arial"/>
          <w:bCs/>
          <w:sz w:val="18"/>
          <w:szCs w:val="18"/>
        </w:rPr>
      </w:pPr>
      <w:r w:rsidRPr="00756664">
        <w:rPr>
          <w:rFonts w:ascii="Helvetica" w:hAnsi="Helvetica" w:cs="Arial"/>
          <w:b/>
          <w:bCs/>
          <w:sz w:val="18"/>
          <w:szCs w:val="18"/>
        </w:rPr>
        <w:t>Pressmeddelande</w:t>
      </w:r>
      <w:r w:rsidRPr="00756664">
        <w:rPr>
          <w:rFonts w:ascii="Helvetica" w:hAnsi="Helvetica" w:cs="Arial"/>
          <w:b/>
          <w:bCs/>
          <w:sz w:val="18"/>
          <w:szCs w:val="18"/>
        </w:rPr>
        <w:br/>
      </w:r>
      <w:r>
        <w:rPr>
          <w:rFonts w:ascii="Helvetica" w:hAnsi="Helvetica" w:cs="Arial"/>
          <w:bCs/>
          <w:sz w:val="18"/>
          <w:szCs w:val="18"/>
        </w:rPr>
        <w:t>2011-</w:t>
      </w:r>
      <w:r w:rsidR="001C6209">
        <w:rPr>
          <w:rFonts w:ascii="Helvetica" w:hAnsi="Helvetica" w:cs="Arial"/>
          <w:bCs/>
          <w:sz w:val="18"/>
          <w:szCs w:val="18"/>
        </w:rPr>
        <w:t>11-03</w:t>
      </w:r>
      <w:bookmarkStart w:id="0" w:name="_GoBack"/>
      <w:bookmarkEnd w:id="0"/>
    </w:p>
    <w:p w14:paraId="43D8F45A" w14:textId="77777777" w:rsidR="00AB0769" w:rsidRDefault="00AB0769" w:rsidP="00EB4C48">
      <w:pPr>
        <w:spacing w:after="0" w:line="240" w:lineRule="auto"/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</w:pPr>
    </w:p>
    <w:p w14:paraId="75230878" w14:textId="77777777" w:rsidR="00767F40" w:rsidRDefault="00767F40" w:rsidP="00EB4C48">
      <w:pPr>
        <w:spacing w:after="0" w:line="240" w:lineRule="auto"/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</w:pP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Köp fritidshuset utomlands till lägre pris än </w:t>
      </w:r>
      <w:r w:rsidR="007606A7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hemma</w:t>
      </w:r>
    </w:p>
    <w:p w14:paraId="5C08D363" w14:textId="77777777" w:rsidR="00BD761E" w:rsidRDefault="00BD761E" w:rsidP="00C016C8">
      <w:pPr>
        <w:spacing w:after="0"/>
        <w:rPr>
          <w:b/>
        </w:rPr>
      </w:pPr>
    </w:p>
    <w:p w14:paraId="59A2571A" w14:textId="77777777" w:rsidR="000B1262" w:rsidRDefault="005E0544" w:rsidP="000B1262">
      <w:pPr>
        <w:spacing w:after="0"/>
        <w:rPr>
          <w:b/>
        </w:rPr>
      </w:pPr>
      <w:r>
        <w:rPr>
          <w:b/>
        </w:rPr>
        <w:t xml:space="preserve">Den internationella finanskrisen i kombination med en stark svensk krona </w:t>
      </w:r>
      <w:r w:rsidR="00AB0769">
        <w:rPr>
          <w:b/>
        </w:rPr>
        <w:t>har gjort</w:t>
      </w:r>
      <w:r w:rsidR="00050428">
        <w:rPr>
          <w:b/>
        </w:rPr>
        <w:t xml:space="preserve"> </w:t>
      </w:r>
      <w:r w:rsidR="00767F40">
        <w:rPr>
          <w:b/>
        </w:rPr>
        <w:t>att flera</w:t>
      </w:r>
      <w:r w:rsidR="00050428">
        <w:rPr>
          <w:b/>
        </w:rPr>
        <w:t xml:space="preserve"> </w:t>
      </w:r>
      <w:r w:rsidR="00767F40">
        <w:rPr>
          <w:b/>
        </w:rPr>
        <w:t>fritidshus i utlandet blivit</w:t>
      </w:r>
      <w:r w:rsidR="00AB0769">
        <w:rPr>
          <w:b/>
        </w:rPr>
        <w:t xml:space="preserve"> väsentligt</w:t>
      </w:r>
      <w:r w:rsidR="00050428">
        <w:rPr>
          <w:b/>
        </w:rPr>
        <w:t xml:space="preserve"> </w:t>
      </w:r>
      <w:r w:rsidR="00050428" w:rsidRPr="00767F40">
        <w:rPr>
          <w:b/>
        </w:rPr>
        <w:t>billigare än i Sverige</w:t>
      </w:r>
      <w:r w:rsidR="00AB0769" w:rsidRPr="00767F40">
        <w:rPr>
          <w:b/>
        </w:rPr>
        <w:t>,</w:t>
      </w:r>
      <w:r w:rsidR="000B1262" w:rsidRPr="00767F40">
        <w:rPr>
          <w:b/>
        </w:rPr>
        <w:t xml:space="preserve"> visar</w:t>
      </w:r>
      <w:r w:rsidR="000B1262">
        <w:rPr>
          <w:b/>
        </w:rPr>
        <w:t xml:space="preserve"> statistik från bostadssajten Hemnet. </w:t>
      </w:r>
    </w:p>
    <w:p w14:paraId="43F46DFE" w14:textId="77777777" w:rsidR="00AB0769" w:rsidRDefault="00AB0769" w:rsidP="000B1262">
      <w:pPr>
        <w:spacing w:after="0"/>
        <w:rPr>
          <w:b/>
        </w:rPr>
      </w:pPr>
    </w:p>
    <w:p w14:paraId="132C722F" w14:textId="77777777" w:rsidR="00AB0769" w:rsidRDefault="00767F40" w:rsidP="000B1262">
      <w:pPr>
        <w:spacing w:after="0"/>
        <w:rPr>
          <w:b/>
        </w:rPr>
      </w:pPr>
      <w:r>
        <w:rPr>
          <w:b/>
        </w:rPr>
        <w:t>De</w:t>
      </w:r>
      <w:r w:rsidR="00AB0769">
        <w:rPr>
          <w:b/>
        </w:rPr>
        <w:t xml:space="preserve"> billigaste </w:t>
      </w:r>
      <w:r>
        <w:rPr>
          <w:b/>
        </w:rPr>
        <w:t xml:space="preserve">fritidshusen </w:t>
      </w:r>
      <w:r w:rsidR="00AB0769">
        <w:rPr>
          <w:b/>
        </w:rPr>
        <w:t xml:space="preserve">hittar du i </w:t>
      </w:r>
      <w:r w:rsidR="00D765D6">
        <w:rPr>
          <w:b/>
        </w:rPr>
        <w:t>Brasilien</w:t>
      </w:r>
      <w:r w:rsidR="00AB0769">
        <w:rPr>
          <w:b/>
        </w:rPr>
        <w:t>, men inte mindre än sju länder i världen har ett lägre medianpris jämfört med ett fritidshus i Sverige.</w:t>
      </w:r>
    </w:p>
    <w:p w14:paraId="2B251E70" w14:textId="77777777" w:rsidR="001E4CA6" w:rsidRDefault="005E0544" w:rsidP="00461C34">
      <w:pPr>
        <w:spacing w:after="0"/>
        <w:rPr>
          <w:b/>
        </w:rPr>
      </w:pPr>
      <w:r>
        <w:rPr>
          <w:b/>
        </w:rPr>
        <w:t xml:space="preserve">    </w:t>
      </w:r>
    </w:p>
    <w:p w14:paraId="4A0D6C5A" w14:textId="77777777" w:rsidR="00050428" w:rsidRDefault="00050428" w:rsidP="00461C34">
      <w:pPr>
        <w:spacing w:after="0"/>
      </w:pPr>
      <w:r w:rsidRPr="00050428">
        <w:t xml:space="preserve">Trött på höstrusk, oxveckor och antågande </w:t>
      </w:r>
      <w:r w:rsidRPr="00767F40">
        <w:t>vintermörker</w:t>
      </w:r>
      <w:r w:rsidR="00201BA1" w:rsidRPr="00767F40">
        <w:t>?</w:t>
      </w:r>
      <w:r w:rsidR="000B1262">
        <w:t xml:space="preserve"> </w:t>
      </w:r>
      <w:r w:rsidR="00057704">
        <w:t xml:space="preserve"> </w:t>
      </w:r>
      <w:r>
        <w:t>I samband med höst- och</w:t>
      </w:r>
      <w:r w:rsidR="00933D98">
        <w:t xml:space="preserve"> den kommande</w:t>
      </w:r>
      <w:r>
        <w:t xml:space="preserve"> julledigheten kan det vara läge att kol</w:t>
      </w:r>
      <w:r w:rsidRPr="00767F40">
        <w:t xml:space="preserve">la in </w:t>
      </w:r>
      <w:r w:rsidR="00201BA1" w:rsidRPr="00767F40">
        <w:t>fritidshus</w:t>
      </w:r>
      <w:r w:rsidRPr="00767F40">
        <w:t>utbudet</w:t>
      </w:r>
      <w:r>
        <w:t xml:space="preserve"> utomlands</w:t>
      </w:r>
      <w:r w:rsidR="000B1262">
        <w:t xml:space="preserve"> och kanske investera i ett eget boende på favoritdestinationen.</w:t>
      </w:r>
      <w:r w:rsidR="00057704">
        <w:t xml:space="preserve"> </w:t>
      </w:r>
    </w:p>
    <w:p w14:paraId="0002A558" w14:textId="77777777" w:rsidR="00050428" w:rsidRPr="00050428" w:rsidRDefault="00050428" w:rsidP="00461C34">
      <w:pPr>
        <w:spacing w:after="0"/>
      </w:pPr>
    </w:p>
    <w:p w14:paraId="008DE2FC" w14:textId="77777777" w:rsidR="00050428" w:rsidRDefault="00050428" w:rsidP="0043719F">
      <w:pPr>
        <w:pStyle w:val="Liststycke"/>
        <w:numPr>
          <w:ilvl w:val="0"/>
          <w:numId w:val="6"/>
        </w:numPr>
        <w:spacing w:after="0"/>
      </w:pPr>
      <w:r>
        <w:t xml:space="preserve">Vi kan se att intresset för utlandsobjekt är som störst under höst- och vintermånaderna. Det är då vi drömmer om sol och värme, säger Ulrika Berg, marknadschef </w:t>
      </w:r>
      <w:r w:rsidR="000B1262">
        <w:t xml:space="preserve">på </w:t>
      </w:r>
      <w:r>
        <w:t>Hemnet. Det finns gott om prisvä</w:t>
      </w:r>
      <w:r w:rsidR="00D94E7A">
        <w:t xml:space="preserve">rda </w:t>
      </w:r>
      <w:r w:rsidR="006A79AA">
        <w:t>fritidshus</w:t>
      </w:r>
      <w:r w:rsidR="00D94E7A">
        <w:t xml:space="preserve"> utomlands. Antalet utlandsobjekt till salu på Hemnet har ökat med </w:t>
      </w:r>
      <w:r w:rsidR="00B537C1">
        <w:t>80</w:t>
      </w:r>
      <w:r w:rsidR="00D94E7A">
        <w:t xml:space="preserve"> procent </w:t>
      </w:r>
      <w:r w:rsidR="00E2668C">
        <w:t>under det</w:t>
      </w:r>
      <w:r w:rsidR="00B537C1">
        <w:t xml:space="preserve"> senaste året</w:t>
      </w:r>
      <w:r w:rsidR="00D94E7A">
        <w:t xml:space="preserve">. </w:t>
      </w:r>
    </w:p>
    <w:p w14:paraId="5E4991FF" w14:textId="77777777" w:rsidR="0043719F" w:rsidRDefault="0043719F" w:rsidP="0043719F">
      <w:pPr>
        <w:spacing w:after="0"/>
      </w:pPr>
    </w:p>
    <w:p w14:paraId="4772D101" w14:textId="77777777" w:rsidR="0043719F" w:rsidRDefault="002F589E" w:rsidP="00461C34">
      <w:pPr>
        <w:spacing w:after="0"/>
      </w:pPr>
      <w:r>
        <w:t xml:space="preserve">För närvarande ligger </w:t>
      </w:r>
      <w:r w:rsidR="00B537C1">
        <w:t>7 171</w:t>
      </w:r>
      <w:r>
        <w:t xml:space="preserve"> utlandsobjekt ute till försäljning på </w:t>
      </w:r>
      <w:r w:rsidRPr="00767F40">
        <w:t>Hemnet</w:t>
      </w:r>
      <w:r w:rsidR="00201BA1" w:rsidRPr="00767F40">
        <w:t>.</w:t>
      </w:r>
      <w:r w:rsidRPr="00767F40">
        <w:t xml:space="preserve"> </w:t>
      </w:r>
      <w:r w:rsidR="0043719F" w:rsidRPr="00767F40">
        <w:t>De</w:t>
      </w:r>
      <w:r w:rsidR="00FA7DF1">
        <w:t xml:space="preserve"> flesta </w:t>
      </w:r>
      <w:r w:rsidR="0043719F">
        <w:t xml:space="preserve">objekten hittar man i euroländerna Spanien, följt av Frankrike och Italien. </w:t>
      </w:r>
    </w:p>
    <w:p w14:paraId="1AC8F8D2" w14:textId="77777777" w:rsidR="00F63C1A" w:rsidRPr="00F63C1A" w:rsidRDefault="00F63C1A" w:rsidP="00F63C1A">
      <w:pPr>
        <w:spacing w:after="0"/>
        <w:rPr>
          <w:i/>
        </w:rPr>
      </w:pPr>
    </w:p>
    <w:p w14:paraId="2AFE4185" w14:textId="77777777" w:rsidR="00D94E7A" w:rsidRPr="00D94E7A" w:rsidRDefault="00D94E7A" w:rsidP="00150529">
      <w:pPr>
        <w:spacing w:after="0"/>
        <w:rPr>
          <w:b/>
        </w:rPr>
      </w:pPr>
      <w:r>
        <w:rPr>
          <w:b/>
        </w:rPr>
        <w:t>Flera länder billigare än Sverige</w:t>
      </w:r>
    </w:p>
    <w:p w14:paraId="77244BC0" w14:textId="77777777" w:rsidR="00150529" w:rsidRDefault="002F589E" w:rsidP="00150529">
      <w:pPr>
        <w:spacing w:after="0"/>
      </w:pPr>
      <w:r>
        <w:t>En prisjämförelse mellan länderna visar att det</w:t>
      </w:r>
      <w:r w:rsidR="00F240D2">
        <w:t xml:space="preserve"> överlägset</w:t>
      </w:r>
      <w:r>
        <w:t xml:space="preserve"> dyraste landet är </w:t>
      </w:r>
      <w:r w:rsidR="00F240D2">
        <w:t>Monaco</w:t>
      </w:r>
      <w:r>
        <w:t xml:space="preserve">. </w:t>
      </w:r>
      <w:r w:rsidR="004D33A2">
        <w:t>I Hemnets urval</w:t>
      </w:r>
      <w:r>
        <w:t xml:space="preserve"> ligger medianpriset </w:t>
      </w:r>
      <w:r w:rsidR="00F240D2">
        <w:t>för en bostad</w:t>
      </w:r>
      <w:r w:rsidR="00C4567A">
        <w:t xml:space="preserve"> </w:t>
      </w:r>
      <w:r w:rsidR="00CF4F3A">
        <w:t xml:space="preserve">här </w:t>
      </w:r>
      <w:r w:rsidR="00C4567A">
        <w:t>p</w:t>
      </w:r>
      <w:r>
        <w:t xml:space="preserve">å </w:t>
      </w:r>
      <w:r w:rsidR="00F240D2">
        <w:t>67,5</w:t>
      </w:r>
      <w:r>
        <w:t xml:space="preserve"> miljoner </w:t>
      </w:r>
      <w:r w:rsidR="004D33A2">
        <w:t>SEK</w:t>
      </w:r>
      <w:r>
        <w:t>.</w:t>
      </w:r>
      <w:r w:rsidR="00C4567A">
        <w:t xml:space="preserve"> Billigast är </w:t>
      </w:r>
      <w:r w:rsidR="00D765D6">
        <w:t>Brasilien</w:t>
      </w:r>
      <w:r w:rsidR="00C4567A">
        <w:t xml:space="preserve"> med ett medianpris </w:t>
      </w:r>
      <w:r w:rsidR="00D765D6">
        <w:t>på</w:t>
      </w:r>
      <w:r w:rsidR="00C4567A">
        <w:t xml:space="preserve"> </w:t>
      </w:r>
      <w:r w:rsidR="00D765D6">
        <w:t>739</w:t>
      </w:r>
      <w:r w:rsidR="00F240D2">
        <w:t> </w:t>
      </w:r>
      <w:r w:rsidR="00C4567A">
        <w:t>000</w:t>
      </w:r>
      <w:r w:rsidR="00F240D2">
        <w:t xml:space="preserve"> SEK</w:t>
      </w:r>
      <w:r w:rsidR="00C4567A">
        <w:t xml:space="preserve">. </w:t>
      </w:r>
      <w:r w:rsidR="00F63C1A">
        <w:t>Men</w:t>
      </w:r>
      <w:r w:rsidR="00150529" w:rsidRPr="00150529">
        <w:t xml:space="preserve"> </w:t>
      </w:r>
      <w:r w:rsidR="00150529">
        <w:t>även</w:t>
      </w:r>
      <w:r w:rsidR="00150529" w:rsidRPr="00150529">
        <w:t xml:space="preserve"> länder som Turkiet,</w:t>
      </w:r>
      <w:r w:rsidR="00D94E7A">
        <w:t xml:space="preserve"> Thailand,</w:t>
      </w:r>
      <w:r w:rsidR="00150529" w:rsidRPr="00150529">
        <w:t xml:space="preserve"> </w:t>
      </w:r>
      <w:r w:rsidR="00D94E7A">
        <w:t>Cypern, Bulgarien</w:t>
      </w:r>
      <w:r w:rsidR="003E3C04">
        <w:t>,</w:t>
      </w:r>
      <w:r w:rsidR="00D765D6">
        <w:t xml:space="preserve"> Dominikanska Republiken</w:t>
      </w:r>
      <w:r w:rsidR="00F63C1A">
        <w:t xml:space="preserve"> </w:t>
      </w:r>
      <w:r w:rsidR="00D765D6">
        <w:t xml:space="preserve">och USA (Florida) </w:t>
      </w:r>
      <w:r w:rsidR="00F63C1A">
        <w:t xml:space="preserve">har ett medianpris som ligger </w:t>
      </w:r>
      <w:r w:rsidR="002231CA">
        <w:t>under genomsnittspriset för ett fritidshus i Sverige, vilket är</w:t>
      </w:r>
      <w:r w:rsidR="00D765D6">
        <w:t xml:space="preserve"> drygt</w:t>
      </w:r>
      <w:r w:rsidR="002231CA">
        <w:t xml:space="preserve"> 1,4 </w:t>
      </w:r>
      <w:r w:rsidR="002231CA" w:rsidRPr="00767F40">
        <w:t xml:space="preserve">miljoner. </w:t>
      </w:r>
      <w:r w:rsidR="00150529" w:rsidRPr="00767F40">
        <w:t xml:space="preserve"> </w:t>
      </w:r>
    </w:p>
    <w:p w14:paraId="467B0D0B" w14:textId="77777777" w:rsidR="00293BF2" w:rsidRDefault="00293BF2" w:rsidP="00150529">
      <w:pPr>
        <w:spacing w:after="0"/>
      </w:pPr>
    </w:p>
    <w:p w14:paraId="79B0486B" w14:textId="77777777" w:rsidR="00293BF2" w:rsidRDefault="00293BF2" w:rsidP="00293BF2">
      <w:pPr>
        <w:pStyle w:val="Liststycke"/>
        <w:numPr>
          <w:ilvl w:val="0"/>
          <w:numId w:val="6"/>
        </w:numPr>
        <w:spacing w:after="0"/>
      </w:pPr>
      <w:r>
        <w:t xml:space="preserve">Naturligtvis måste man ta resekostnader med i beräkningarna när man köper </w:t>
      </w:r>
      <w:r w:rsidR="006A79AA">
        <w:t>fritidshus</w:t>
      </w:r>
      <w:r>
        <w:t xml:space="preserve"> utomlands, fortsätter Ulrika Berg. Idag går det dock att flyga till många håll i världen för relativt låga priser, vilket gör att en investering utomlands kan löna sig. </w:t>
      </w:r>
    </w:p>
    <w:p w14:paraId="7AD72083" w14:textId="77777777" w:rsidR="00AB0769" w:rsidRDefault="00AB0769" w:rsidP="00AB0769">
      <w:pPr>
        <w:spacing w:after="0"/>
      </w:pPr>
    </w:p>
    <w:p w14:paraId="2A07344F" w14:textId="77777777" w:rsidR="00E2668C" w:rsidRPr="00E2668C" w:rsidRDefault="00E2668C" w:rsidP="00150529">
      <w:pPr>
        <w:spacing w:after="0"/>
        <w:rPr>
          <w:b/>
        </w:rPr>
      </w:pPr>
      <w:r>
        <w:rPr>
          <w:b/>
        </w:rPr>
        <w:t xml:space="preserve">Prislista </w:t>
      </w:r>
      <w:r w:rsidR="00CD7F46">
        <w:rPr>
          <w:b/>
        </w:rPr>
        <w:t>fritidshus</w:t>
      </w:r>
      <w:r>
        <w:rPr>
          <w:b/>
        </w:rPr>
        <w:t xml:space="preserve"> utomlands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0529" w14:paraId="5CD453F4" w14:textId="77777777" w:rsidTr="0015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16E71C5" w14:textId="77777777" w:rsidR="00150529" w:rsidRPr="00150529" w:rsidRDefault="00150529" w:rsidP="00150529">
            <w:pPr>
              <w:rPr>
                <w:color w:val="auto"/>
              </w:rPr>
            </w:pPr>
            <w:r w:rsidRPr="00150529">
              <w:rPr>
                <w:color w:val="auto"/>
              </w:rPr>
              <w:t>Land</w:t>
            </w:r>
          </w:p>
        </w:tc>
        <w:tc>
          <w:tcPr>
            <w:tcW w:w="3071" w:type="dxa"/>
          </w:tcPr>
          <w:p w14:paraId="350F7FD0" w14:textId="77777777" w:rsidR="00150529" w:rsidRPr="00150529" w:rsidRDefault="00057704" w:rsidP="00150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Medianpris (SEK)</w:t>
            </w:r>
          </w:p>
        </w:tc>
        <w:tc>
          <w:tcPr>
            <w:tcW w:w="3071" w:type="dxa"/>
          </w:tcPr>
          <w:p w14:paraId="2EA7221C" w14:textId="77777777" w:rsidR="00150529" w:rsidRPr="00150529" w:rsidRDefault="00057704" w:rsidP="00057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Antal/utbud på Hemnet</w:t>
            </w:r>
          </w:p>
        </w:tc>
      </w:tr>
      <w:tr w:rsidR="00057704" w14:paraId="2B3C0C38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8A591EE" w14:textId="77777777" w:rsidR="00057704" w:rsidRPr="00057704" w:rsidRDefault="00057704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Sverige (riket)</w:t>
            </w:r>
          </w:p>
        </w:tc>
        <w:tc>
          <w:tcPr>
            <w:tcW w:w="3071" w:type="dxa"/>
          </w:tcPr>
          <w:p w14:paraId="62DC2C94" w14:textId="77777777" w:rsidR="00057704" w:rsidRPr="00057704" w:rsidRDefault="00057704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57704">
              <w:rPr>
                <w:color w:val="auto"/>
              </w:rPr>
              <w:t>1 430 534</w:t>
            </w:r>
          </w:p>
        </w:tc>
        <w:tc>
          <w:tcPr>
            <w:tcW w:w="3071" w:type="dxa"/>
          </w:tcPr>
          <w:p w14:paraId="33A710CB" w14:textId="77777777" w:rsidR="00057704" w:rsidRDefault="00057704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F82" w14:paraId="6A481F08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9AD9D55" w14:textId="77777777" w:rsidR="00331F82" w:rsidRPr="002B5A44" w:rsidRDefault="00331F82" w:rsidP="00796817">
            <w:pPr>
              <w:rPr>
                <w:b w:val="0"/>
                <w:color w:val="auto"/>
              </w:rPr>
            </w:pPr>
            <w:r w:rsidRPr="002B5A44">
              <w:rPr>
                <w:b w:val="0"/>
                <w:color w:val="auto"/>
              </w:rPr>
              <w:t>Stockholms län</w:t>
            </w:r>
          </w:p>
        </w:tc>
        <w:tc>
          <w:tcPr>
            <w:tcW w:w="3071" w:type="dxa"/>
          </w:tcPr>
          <w:p w14:paraId="54798950" w14:textId="77777777" w:rsidR="00331F82" w:rsidRPr="002B5A44" w:rsidRDefault="00331F82" w:rsidP="0079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5A44">
              <w:rPr>
                <w:color w:val="auto"/>
              </w:rPr>
              <w:t xml:space="preserve">2 761 171 </w:t>
            </w:r>
          </w:p>
        </w:tc>
        <w:tc>
          <w:tcPr>
            <w:tcW w:w="3071" w:type="dxa"/>
          </w:tcPr>
          <w:p w14:paraId="5595AE2F" w14:textId="77777777" w:rsidR="00331F82" w:rsidRDefault="00331F82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F82" w14:paraId="16D4B309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BDB6D90" w14:textId="77777777" w:rsidR="00331F82" w:rsidRDefault="00331F82" w:rsidP="00057704">
            <w:pPr>
              <w:rPr>
                <w:b w:val="0"/>
              </w:rPr>
            </w:pPr>
          </w:p>
        </w:tc>
        <w:tc>
          <w:tcPr>
            <w:tcW w:w="3071" w:type="dxa"/>
          </w:tcPr>
          <w:p w14:paraId="5C073096" w14:textId="77777777" w:rsidR="00331F82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14:paraId="1ADFCD53" w14:textId="77777777" w:rsidR="00331F82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F82" w14:paraId="09688079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8E5177D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Brasilien</w:t>
            </w:r>
          </w:p>
        </w:tc>
        <w:tc>
          <w:tcPr>
            <w:tcW w:w="3071" w:type="dxa"/>
          </w:tcPr>
          <w:p w14:paraId="07C31199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739 000</w:t>
            </w:r>
          </w:p>
        </w:tc>
        <w:tc>
          <w:tcPr>
            <w:tcW w:w="3071" w:type="dxa"/>
          </w:tcPr>
          <w:p w14:paraId="6186BF5F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331F82" w14:paraId="1562833B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9155716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Turkiet</w:t>
            </w:r>
          </w:p>
        </w:tc>
        <w:tc>
          <w:tcPr>
            <w:tcW w:w="3071" w:type="dxa"/>
          </w:tcPr>
          <w:p w14:paraId="12BA9227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819 000</w:t>
            </w:r>
          </w:p>
        </w:tc>
        <w:tc>
          <w:tcPr>
            <w:tcW w:w="3071" w:type="dxa"/>
          </w:tcPr>
          <w:p w14:paraId="1A85ADA0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227</w:t>
            </w:r>
          </w:p>
        </w:tc>
      </w:tr>
      <w:tr w:rsidR="00331F82" w14:paraId="1FE64CD2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F51396F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Thailand</w:t>
            </w:r>
          </w:p>
        </w:tc>
        <w:tc>
          <w:tcPr>
            <w:tcW w:w="3071" w:type="dxa"/>
          </w:tcPr>
          <w:p w14:paraId="6A1550B5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935 000</w:t>
            </w:r>
          </w:p>
        </w:tc>
        <w:tc>
          <w:tcPr>
            <w:tcW w:w="3071" w:type="dxa"/>
          </w:tcPr>
          <w:p w14:paraId="4EC6137C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</w:tr>
      <w:tr w:rsidR="00331F82" w14:paraId="2BC8F660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1DE6C9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Cypern</w:t>
            </w:r>
          </w:p>
        </w:tc>
        <w:tc>
          <w:tcPr>
            <w:tcW w:w="3071" w:type="dxa"/>
          </w:tcPr>
          <w:p w14:paraId="532B8655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946 637</w:t>
            </w:r>
          </w:p>
        </w:tc>
        <w:tc>
          <w:tcPr>
            <w:tcW w:w="3071" w:type="dxa"/>
          </w:tcPr>
          <w:p w14:paraId="47CD5880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331F82" w14:paraId="2B60B2A6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7A08C7A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Bulgarien</w:t>
            </w:r>
          </w:p>
        </w:tc>
        <w:tc>
          <w:tcPr>
            <w:tcW w:w="3071" w:type="dxa"/>
          </w:tcPr>
          <w:p w14:paraId="453A08B9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995 000</w:t>
            </w:r>
          </w:p>
        </w:tc>
        <w:tc>
          <w:tcPr>
            <w:tcW w:w="3071" w:type="dxa"/>
          </w:tcPr>
          <w:p w14:paraId="5E6D8A54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331F82" w14:paraId="0EB90008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7B266FE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Dominikanska Republiken</w:t>
            </w:r>
          </w:p>
        </w:tc>
        <w:tc>
          <w:tcPr>
            <w:tcW w:w="3071" w:type="dxa"/>
          </w:tcPr>
          <w:p w14:paraId="5225EC33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1 175 000</w:t>
            </w:r>
          </w:p>
        </w:tc>
        <w:tc>
          <w:tcPr>
            <w:tcW w:w="3071" w:type="dxa"/>
          </w:tcPr>
          <w:p w14:paraId="13E336C6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D765D6" w14:paraId="1C4D7A85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A42EBED" w14:textId="77777777" w:rsidR="00D765D6" w:rsidRPr="00D765D6" w:rsidRDefault="00D765D6" w:rsidP="00150529">
            <w:pPr>
              <w:rPr>
                <w:b w:val="0"/>
                <w:color w:val="auto"/>
              </w:rPr>
            </w:pPr>
            <w:r w:rsidRPr="00D765D6">
              <w:rPr>
                <w:b w:val="0"/>
                <w:color w:val="auto"/>
              </w:rPr>
              <w:t>USA (Florida)</w:t>
            </w:r>
          </w:p>
        </w:tc>
        <w:tc>
          <w:tcPr>
            <w:tcW w:w="3071" w:type="dxa"/>
          </w:tcPr>
          <w:p w14:paraId="2461C5B5" w14:textId="77777777" w:rsidR="00D765D6" w:rsidRPr="00D765D6" w:rsidRDefault="00D765D6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765D6">
              <w:rPr>
                <w:color w:val="auto"/>
              </w:rPr>
              <w:t>1 400 000</w:t>
            </w:r>
          </w:p>
        </w:tc>
        <w:tc>
          <w:tcPr>
            <w:tcW w:w="3071" w:type="dxa"/>
          </w:tcPr>
          <w:p w14:paraId="55EA65BA" w14:textId="77777777" w:rsidR="00D765D6" w:rsidRPr="00D765D6" w:rsidRDefault="00D765D6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765D6">
              <w:rPr>
                <w:color w:val="auto"/>
              </w:rPr>
              <w:t>189</w:t>
            </w:r>
          </w:p>
        </w:tc>
      </w:tr>
      <w:tr w:rsidR="00331F82" w14:paraId="4C0D4DC1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3621402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Ungern</w:t>
            </w:r>
          </w:p>
        </w:tc>
        <w:tc>
          <w:tcPr>
            <w:tcW w:w="3071" w:type="dxa"/>
          </w:tcPr>
          <w:p w14:paraId="44A68CCF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1 475 000</w:t>
            </w:r>
          </w:p>
        </w:tc>
        <w:tc>
          <w:tcPr>
            <w:tcW w:w="3071" w:type="dxa"/>
          </w:tcPr>
          <w:p w14:paraId="4474B33F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31F82" w14:paraId="380946FE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6CC519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Italien</w:t>
            </w:r>
          </w:p>
        </w:tc>
        <w:tc>
          <w:tcPr>
            <w:tcW w:w="3071" w:type="dxa"/>
          </w:tcPr>
          <w:p w14:paraId="28D21DB6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1 530 000</w:t>
            </w:r>
          </w:p>
        </w:tc>
        <w:tc>
          <w:tcPr>
            <w:tcW w:w="3071" w:type="dxa"/>
          </w:tcPr>
          <w:p w14:paraId="1FCA897D" w14:textId="77777777" w:rsidR="00331F82" w:rsidRPr="00AD452C" w:rsidRDefault="00331F82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355</w:t>
            </w:r>
          </w:p>
        </w:tc>
      </w:tr>
      <w:tr w:rsidR="00331F82" w14:paraId="63CE871D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6F55C28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Grekland</w:t>
            </w:r>
          </w:p>
        </w:tc>
        <w:tc>
          <w:tcPr>
            <w:tcW w:w="3071" w:type="dxa"/>
          </w:tcPr>
          <w:p w14:paraId="1DDD5B3A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1 530 000</w:t>
            </w:r>
          </w:p>
        </w:tc>
        <w:tc>
          <w:tcPr>
            <w:tcW w:w="3071" w:type="dxa"/>
          </w:tcPr>
          <w:p w14:paraId="50017ABD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154</w:t>
            </w:r>
          </w:p>
        </w:tc>
      </w:tr>
      <w:tr w:rsidR="00331F82" w14:paraId="3B0FD4A2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522574E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Portugal</w:t>
            </w:r>
          </w:p>
        </w:tc>
        <w:tc>
          <w:tcPr>
            <w:tcW w:w="3071" w:type="dxa"/>
          </w:tcPr>
          <w:p w14:paraId="117BF0CE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1 710 000</w:t>
            </w:r>
          </w:p>
        </w:tc>
        <w:tc>
          <w:tcPr>
            <w:tcW w:w="3071" w:type="dxa"/>
          </w:tcPr>
          <w:p w14:paraId="5AD1BB6B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236</w:t>
            </w:r>
          </w:p>
        </w:tc>
      </w:tr>
      <w:tr w:rsidR="00331F82" w14:paraId="59DF8DAC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95D1FBE" w14:textId="77777777" w:rsidR="00331F82" w:rsidRPr="008E634B" w:rsidRDefault="00331F82" w:rsidP="00057704">
            <w:pPr>
              <w:rPr>
                <w:b w:val="0"/>
                <w:color w:val="auto"/>
              </w:rPr>
            </w:pPr>
            <w:r w:rsidRPr="008E634B">
              <w:rPr>
                <w:b w:val="0"/>
                <w:color w:val="auto"/>
              </w:rPr>
              <w:t>Spanien</w:t>
            </w:r>
          </w:p>
        </w:tc>
        <w:tc>
          <w:tcPr>
            <w:tcW w:w="3071" w:type="dxa"/>
          </w:tcPr>
          <w:p w14:paraId="3497B482" w14:textId="77777777" w:rsidR="00331F82" w:rsidRPr="008E634B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634B">
              <w:rPr>
                <w:color w:val="auto"/>
              </w:rPr>
              <w:t>2 070 000</w:t>
            </w:r>
          </w:p>
        </w:tc>
        <w:tc>
          <w:tcPr>
            <w:tcW w:w="3071" w:type="dxa"/>
          </w:tcPr>
          <w:p w14:paraId="3AF4BC10" w14:textId="77777777" w:rsidR="00331F82" w:rsidRPr="008E634B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634B">
              <w:rPr>
                <w:color w:val="auto"/>
              </w:rPr>
              <w:t>4 621</w:t>
            </w:r>
          </w:p>
        </w:tc>
      </w:tr>
      <w:tr w:rsidR="00331F82" w14:paraId="145C3A01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04AF3D8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Kroatien</w:t>
            </w:r>
          </w:p>
        </w:tc>
        <w:tc>
          <w:tcPr>
            <w:tcW w:w="3071" w:type="dxa"/>
          </w:tcPr>
          <w:p w14:paraId="0679A90C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2 700 000</w:t>
            </w:r>
          </w:p>
        </w:tc>
        <w:tc>
          <w:tcPr>
            <w:tcW w:w="3071" w:type="dxa"/>
          </w:tcPr>
          <w:p w14:paraId="0456E357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331F82" w14:paraId="6951BCFE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129F116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Åland</w:t>
            </w:r>
          </w:p>
        </w:tc>
        <w:tc>
          <w:tcPr>
            <w:tcW w:w="3071" w:type="dxa"/>
          </w:tcPr>
          <w:p w14:paraId="31129FBA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3 515 171</w:t>
            </w:r>
          </w:p>
        </w:tc>
        <w:tc>
          <w:tcPr>
            <w:tcW w:w="3071" w:type="dxa"/>
          </w:tcPr>
          <w:p w14:paraId="32866808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331F82" w14:paraId="32F127A9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FCC3E0D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Malta</w:t>
            </w:r>
          </w:p>
        </w:tc>
        <w:tc>
          <w:tcPr>
            <w:tcW w:w="3071" w:type="dxa"/>
          </w:tcPr>
          <w:p w14:paraId="59757A7F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3 519 000</w:t>
            </w:r>
          </w:p>
        </w:tc>
        <w:tc>
          <w:tcPr>
            <w:tcW w:w="3071" w:type="dxa"/>
          </w:tcPr>
          <w:p w14:paraId="0AE94B0F" w14:textId="77777777" w:rsidR="00331F82" w:rsidRPr="00AD452C" w:rsidRDefault="00331F82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331F82" w14:paraId="22612AA3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88B547C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Frankrike</w:t>
            </w:r>
          </w:p>
        </w:tc>
        <w:tc>
          <w:tcPr>
            <w:tcW w:w="3071" w:type="dxa"/>
          </w:tcPr>
          <w:p w14:paraId="44350DEF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3 555 000</w:t>
            </w:r>
          </w:p>
        </w:tc>
        <w:tc>
          <w:tcPr>
            <w:tcW w:w="3071" w:type="dxa"/>
          </w:tcPr>
          <w:p w14:paraId="42647173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822</w:t>
            </w:r>
          </w:p>
        </w:tc>
      </w:tr>
      <w:tr w:rsidR="00331F82" w14:paraId="7E89282B" w14:textId="77777777" w:rsidTr="0015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4AD6B3D" w14:textId="77777777" w:rsidR="00331F82" w:rsidRPr="00AD452C" w:rsidRDefault="00331F82" w:rsidP="0005770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Estland</w:t>
            </w:r>
          </w:p>
        </w:tc>
        <w:tc>
          <w:tcPr>
            <w:tcW w:w="3071" w:type="dxa"/>
          </w:tcPr>
          <w:p w14:paraId="0BF7A33C" w14:textId="77777777" w:rsidR="00331F82" w:rsidRPr="00AD452C" w:rsidRDefault="00331F82" w:rsidP="0015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9 037 000</w:t>
            </w:r>
          </w:p>
        </w:tc>
        <w:tc>
          <w:tcPr>
            <w:tcW w:w="3071" w:type="dxa"/>
          </w:tcPr>
          <w:p w14:paraId="363DDE62" w14:textId="77777777" w:rsidR="00331F82" w:rsidRPr="00AD452C" w:rsidRDefault="00331F82" w:rsidP="0005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31F82" w14:paraId="4A622FEC" w14:textId="77777777" w:rsidTr="0015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ED70044" w14:textId="77777777" w:rsidR="00331F82" w:rsidRPr="00AD452C" w:rsidRDefault="00331F82" w:rsidP="0015052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Monaco</w:t>
            </w:r>
          </w:p>
        </w:tc>
        <w:tc>
          <w:tcPr>
            <w:tcW w:w="3071" w:type="dxa"/>
          </w:tcPr>
          <w:p w14:paraId="49321A47" w14:textId="77777777" w:rsidR="00331F82" w:rsidRPr="00AD452C" w:rsidRDefault="00331F82" w:rsidP="0015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67 500 000</w:t>
            </w:r>
          </w:p>
        </w:tc>
        <w:tc>
          <w:tcPr>
            <w:tcW w:w="3071" w:type="dxa"/>
          </w:tcPr>
          <w:p w14:paraId="2226ED16" w14:textId="77777777" w:rsidR="00331F82" w:rsidRPr="00AD452C" w:rsidRDefault="00331F82" w:rsidP="0005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</w:tbl>
    <w:p w14:paraId="33D53CCA" w14:textId="77777777" w:rsidR="00C4567A" w:rsidRDefault="00C4567A" w:rsidP="00461C34">
      <w:pPr>
        <w:spacing w:after="0"/>
      </w:pPr>
    </w:p>
    <w:p w14:paraId="1689D2DF" w14:textId="77777777" w:rsidR="00381767" w:rsidRPr="002B5A44" w:rsidRDefault="00381767" w:rsidP="00381767">
      <w:pPr>
        <w:spacing w:after="0"/>
        <w:rPr>
          <w:i/>
        </w:rPr>
      </w:pPr>
      <w:r w:rsidRPr="002B5A44">
        <w:rPr>
          <w:i/>
        </w:rPr>
        <w:t>Enligt valutakurs 1 Euro = 9 SEK</w:t>
      </w:r>
    </w:p>
    <w:p w14:paraId="406B8569" w14:textId="77777777" w:rsidR="00932E0F" w:rsidRPr="00381767" w:rsidRDefault="00381767" w:rsidP="00F240D2">
      <w:pPr>
        <w:spacing w:after="0"/>
        <w:rPr>
          <w:i/>
        </w:rPr>
      </w:pPr>
      <w:r w:rsidRPr="00433CF3">
        <w:rPr>
          <w:i/>
        </w:rPr>
        <w:t>Statistiken</w:t>
      </w:r>
      <w:r>
        <w:rPr>
          <w:i/>
        </w:rPr>
        <w:t xml:space="preserve"> är en ögonblicksbild från v. 41</w:t>
      </w:r>
      <w:r w:rsidR="00767F40">
        <w:rPr>
          <w:i/>
        </w:rPr>
        <w:t xml:space="preserve"> och en jämförelse av medianpris</w:t>
      </w:r>
      <w:r>
        <w:rPr>
          <w:i/>
        </w:rPr>
        <w:t>.</w:t>
      </w:r>
      <w:r w:rsidR="00767F40">
        <w:rPr>
          <w:i/>
        </w:rPr>
        <w:t xml:space="preserve"> Det är inte en jämförelse mellan liknande</w:t>
      </w:r>
      <w:r w:rsidR="00FA7DF1">
        <w:rPr>
          <w:i/>
        </w:rPr>
        <w:t xml:space="preserve"> standard på</w:t>
      </w:r>
      <w:r w:rsidR="00767F40">
        <w:rPr>
          <w:i/>
        </w:rPr>
        <w:t xml:space="preserve"> fritidshus. </w:t>
      </w:r>
    </w:p>
    <w:p w14:paraId="77E9E329" w14:textId="77777777" w:rsidR="002D45CD" w:rsidRDefault="0076690E" w:rsidP="008F2D98">
      <w:pPr>
        <w:spacing w:after="0"/>
      </w:pPr>
      <w:r>
        <w:rPr>
          <w:noProof/>
        </w:rPr>
        <w:pict w14:anchorId="611E7428">
          <v:roundrect id="AutoShape 2" o:spid="_x0000_s1026" style="position:absolute;margin-left:0;margin-top:15pt;width:465.75pt;height:173.35pt;z-index:251661312;visibility:visible;mso-height-percent:200;mso-position-horizontal:center;mso-position-horizontal-relative:margin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" fillcolor="#d6e3bc [1302]" stroked="f" strokecolor="#f2f2f2 [3041]" strokeweight="3pt">
            <v:shadow on="t" color="#4e6128 [1606]" opacity=".5" offset="1pt"/>
            <v:textbox style="mso-fit-shape-to-text:t">
              <w:txbxContent>
                <w:p w14:paraId="685B1DB6" w14:textId="77777777" w:rsidR="0076690E" w:rsidRDefault="0076690E">
                  <w:pPr>
                    <w:rPr>
                      <w:b/>
                    </w:rPr>
                  </w:pPr>
                  <w:r w:rsidRPr="006E09E4">
                    <w:rPr>
                      <w:b/>
                    </w:rPr>
                    <w:t>Att tänka på när du köper semesterboende utomlands</w:t>
                  </w:r>
                </w:p>
                <w:p w14:paraId="0A8FC0A3" w14:textId="77777777" w:rsidR="0076690E" w:rsidRPr="00372965" w:rsidRDefault="0076690E" w:rsidP="00372965">
                  <w:pPr>
                    <w:pStyle w:val="Liststycke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372965">
                    <w:rPr>
                      <w:bCs/>
                    </w:rPr>
                    <w:t>Vid köp av nyproduktion bör man köpa av erkända företag som håller tidplan samt erbjuder hundraprocentiga bankgarantier på belopp som betalas innan färdigställande.</w:t>
                  </w:r>
                </w:p>
                <w:p w14:paraId="47DDE7CF" w14:textId="77777777" w:rsidR="0076690E" w:rsidRPr="004A4153" w:rsidRDefault="0076690E" w:rsidP="00372965">
                  <w:pPr>
                    <w:pStyle w:val="Liststycke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4A4153">
                    <w:rPr>
                      <w:bCs/>
                    </w:rPr>
                    <w:t>Välj ett område som är levande året om och som alltid har förutsättningar att vara attraktivt. Du kanske vill eller måste sälja i framtiden. Närhet till allmänservice är viktigt.</w:t>
                  </w:r>
                </w:p>
                <w:p w14:paraId="2712CBB0" w14:textId="77777777" w:rsidR="0076690E" w:rsidRDefault="0076690E" w:rsidP="00372965">
                  <w:pPr>
                    <w:pStyle w:val="Liststycke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4A4153">
                    <w:rPr>
                      <w:bCs/>
                    </w:rPr>
                    <w:t xml:space="preserve">Som svensk kan det vara </w:t>
                  </w:r>
                  <w:r>
                    <w:rPr>
                      <w:bCs/>
                    </w:rPr>
                    <w:t>tryggt att köpa genom en svensk</w:t>
                  </w:r>
                  <w:r w:rsidRPr="004A4153">
                    <w:rPr>
                      <w:bCs/>
                    </w:rPr>
                    <w:t>registrerad mäklare som kontrollerar att det juridiska och praktiska i samband med tillträde och lagfart blir korrekt och utan språkförbistringar.</w:t>
                  </w:r>
                </w:p>
                <w:p w14:paraId="171CF076" w14:textId="77777777" w:rsidR="0076690E" w:rsidRPr="00372965" w:rsidRDefault="0076690E" w:rsidP="00372965">
                  <w:pPr>
                    <w:pStyle w:val="Liststycke"/>
                    <w:jc w:val="right"/>
                    <w:rPr>
                      <w:bCs/>
                      <w:i/>
                      <w:sz w:val="20"/>
                    </w:rPr>
                  </w:pPr>
                  <w:r w:rsidRPr="004A4153">
                    <w:rPr>
                      <w:bCs/>
                      <w:i/>
                      <w:sz w:val="20"/>
                    </w:rPr>
                    <w:t>Lars-Göran Björklund, fastighetsmäklare, SkandiaMäklarna</w:t>
                  </w:r>
                </w:p>
              </w:txbxContent>
            </v:textbox>
            <w10:wrap anchorx="margin"/>
          </v:roundrect>
        </w:pict>
      </w:r>
    </w:p>
    <w:p w14:paraId="62BC89D0" w14:textId="77777777" w:rsidR="002D45CD" w:rsidRDefault="002D45CD" w:rsidP="008F2D98">
      <w:pPr>
        <w:spacing w:after="0"/>
      </w:pPr>
    </w:p>
    <w:p w14:paraId="75FFDC62" w14:textId="77777777" w:rsidR="004A47A8" w:rsidRDefault="004A47A8" w:rsidP="00E456CA">
      <w:pPr>
        <w:spacing w:after="0"/>
        <w:rPr>
          <w:b/>
        </w:rPr>
      </w:pPr>
    </w:p>
    <w:p w14:paraId="73B6840C" w14:textId="77777777" w:rsidR="00372965" w:rsidRDefault="00372965" w:rsidP="00E456CA">
      <w:pPr>
        <w:spacing w:after="0"/>
        <w:rPr>
          <w:b/>
        </w:rPr>
      </w:pPr>
    </w:p>
    <w:p w14:paraId="3BF4C8A8" w14:textId="77777777" w:rsidR="00372965" w:rsidRDefault="00372965" w:rsidP="00E456CA">
      <w:pPr>
        <w:spacing w:after="0"/>
        <w:rPr>
          <w:b/>
        </w:rPr>
      </w:pPr>
    </w:p>
    <w:p w14:paraId="38C29818" w14:textId="77777777" w:rsidR="00372965" w:rsidRDefault="00372965" w:rsidP="00E456CA">
      <w:pPr>
        <w:spacing w:after="0"/>
        <w:rPr>
          <w:b/>
        </w:rPr>
      </w:pPr>
    </w:p>
    <w:p w14:paraId="1C519A00" w14:textId="77777777" w:rsidR="00372965" w:rsidRDefault="00372965" w:rsidP="00E456CA">
      <w:pPr>
        <w:spacing w:after="0"/>
        <w:rPr>
          <w:b/>
        </w:rPr>
      </w:pPr>
    </w:p>
    <w:p w14:paraId="018DBE35" w14:textId="77777777" w:rsidR="00372965" w:rsidRDefault="00372965" w:rsidP="00E456CA">
      <w:pPr>
        <w:spacing w:after="0"/>
        <w:rPr>
          <w:b/>
        </w:rPr>
      </w:pPr>
    </w:p>
    <w:p w14:paraId="35C6A051" w14:textId="77777777" w:rsidR="00372965" w:rsidRDefault="00372965" w:rsidP="00E456CA">
      <w:pPr>
        <w:spacing w:after="0"/>
        <w:rPr>
          <w:b/>
        </w:rPr>
      </w:pPr>
    </w:p>
    <w:p w14:paraId="20010B96" w14:textId="77777777" w:rsidR="00372965" w:rsidRDefault="00372965" w:rsidP="00E456CA">
      <w:pPr>
        <w:spacing w:after="0"/>
        <w:rPr>
          <w:b/>
        </w:rPr>
      </w:pPr>
    </w:p>
    <w:p w14:paraId="6326355C" w14:textId="77777777" w:rsidR="00372965" w:rsidRDefault="00372965" w:rsidP="00E456CA">
      <w:pPr>
        <w:spacing w:after="0"/>
        <w:rPr>
          <w:b/>
        </w:rPr>
      </w:pPr>
    </w:p>
    <w:p w14:paraId="4BD9E948" w14:textId="77777777" w:rsidR="00372965" w:rsidRDefault="00372965" w:rsidP="00E456CA">
      <w:pPr>
        <w:spacing w:after="0"/>
        <w:rPr>
          <w:b/>
        </w:rPr>
      </w:pPr>
    </w:p>
    <w:p w14:paraId="01D7475A" w14:textId="77777777" w:rsidR="00372965" w:rsidRDefault="00372965" w:rsidP="00E456CA">
      <w:pPr>
        <w:spacing w:after="0"/>
        <w:rPr>
          <w:b/>
        </w:rPr>
      </w:pPr>
    </w:p>
    <w:p w14:paraId="3AD8F328" w14:textId="77777777" w:rsidR="00372965" w:rsidRDefault="00372965" w:rsidP="00E456CA">
      <w:pPr>
        <w:spacing w:after="0"/>
        <w:rPr>
          <w:b/>
        </w:rPr>
      </w:pPr>
    </w:p>
    <w:p w14:paraId="2FF5067F" w14:textId="77777777" w:rsidR="00061E34" w:rsidRDefault="00061E34" w:rsidP="00061E34">
      <w:pPr>
        <w:spacing w:after="0"/>
        <w:rPr>
          <w:b/>
        </w:rPr>
      </w:pPr>
      <w:r>
        <w:rPr>
          <w:b/>
          <w:bCs/>
        </w:rPr>
        <w:t>För frågor</w:t>
      </w:r>
      <w:r w:rsidRPr="002C3949">
        <w:rPr>
          <w:b/>
          <w:bCs/>
        </w:rPr>
        <w:t xml:space="preserve"> kontakta:</w:t>
      </w:r>
    </w:p>
    <w:p w14:paraId="6607131F" w14:textId="77777777" w:rsidR="00372965" w:rsidRDefault="00372965" w:rsidP="00061E34">
      <w:pPr>
        <w:spacing w:after="0"/>
        <w:rPr>
          <w:b/>
        </w:rPr>
      </w:pPr>
    </w:p>
    <w:p w14:paraId="38757610" w14:textId="77777777" w:rsidR="00061E34" w:rsidRPr="002C3949" w:rsidRDefault="00061E34" w:rsidP="00061E34">
      <w:pPr>
        <w:spacing w:after="0"/>
      </w:pPr>
      <w:r w:rsidRPr="002C3949">
        <w:rPr>
          <w:b/>
        </w:rPr>
        <w:t>Hemnet</w:t>
      </w:r>
    </w:p>
    <w:p w14:paraId="0D3F0993" w14:textId="77777777" w:rsidR="00061E34" w:rsidRDefault="00061E34" w:rsidP="00061E34">
      <w:pPr>
        <w:tabs>
          <w:tab w:val="center" w:pos="4536"/>
        </w:tabs>
        <w:spacing w:after="0"/>
      </w:pPr>
      <w:r w:rsidRPr="002C3949">
        <w:t>Ulrika Berg, marknadschef Hemnet</w:t>
      </w:r>
      <w:r>
        <w:t>, tfn: 070-684 55 17, e</w:t>
      </w:r>
      <w:r w:rsidRPr="002C3949">
        <w:t xml:space="preserve">-post: </w:t>
      </w:r>
      <w:hyperlink r:id="rId7" w:history="1">
        <w:r w:rsidRPr="002C3949">
          <w:rPr>
            <w:rStyle w:val="Hyperlnk"/>
          </w:rPr>
          <w:t>ulrika.berg@hemnet.se</w:t>
        </w:r>
      </w:hyperlink>
    </w:p>
    <w:p w14:paraId="465F0400" w14:textId="77777777" w:rsidR="00372965" w:rsidRDefault="00372965" w:rsidP="0037296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SkandiaMäklarna</w:t>
      </w:r>
    </w:p>
    <w:p w14:paraId="4629454C" w14:textId="77777777" w:rsidR="00372965" w:rsidRPr="00E26B55" w:rsidRDefault="00372965" w:rsidP="00372965">
      <w:pPr>
        <w:rPr>
          <w:rFonts w:ascii="Georgia" w:hAnsi="Georgia"/>
          <w:color w:val="0000FF"/>
          <w:sz w:val="20"/>
          <w:szCs w:val="20"/>
        </w:rPr>
      </w:pPr>
      <w:r>
        <w:rPr>
          <w:rFonts w:ascii="Calibri" w:hAnsi="Calibri" w:cs="Calibri"/>
          <w:bCs/>
        </w:rPr>
        <w:t xml:space="preserve">Lars-Göran Björklund, fastighetsmäklare, SkandiaMäklarnas Spanienkontor, tfn: </w:t>
      </w:r>
      <w:r w:rsidRPr="00E26B55">
        <w:rPr>
          <w:rFonts w:cstheme="minorHAnsi"/>
          <w:szCs w:val="20"/>
        </w:rPr>
        <w:t>+34 628 462</w:t>
      </w:r>
      <w:r>
        <w:rPr>
          <w:rFonts w:cstheme="minorHAnsi"/>
          <w:szCs w:val="20"/>
        </w:rPr>
        <w:t> </w:t>
      </w:r>
      <w:r w:rsidRPr="00E26B55">
        <w:rPr>
          <w:rFonts w:cstheme="minorHAnsi"/>
          <w:szCs w:val="20"/>
        </w:rPr>
        <w:t>961</w:t>
      </w:r>
      <w:r>
        <w:rPr>
          <w:rFonts w:cstheme="minorHAnsi"/>
          <w:szCs w:val="20"/>
        </w:rPr>
        <w:t>, e-post: larsgoran.bjorklund@skandiamaklarna.se</w:t>
      </w:r>
    </w:p>
    <w:p w14:paraId="38545185" w14:textId="77777777" w:rsidR="00061E34" w:rsidRPr="00372965" w:rsidRDefault="00061E34" w:rsidP="00E456CA">
      <w:pPr>
        <w:spacing w:after="0"/>
        <w:rPr>
          <w:rFonts w:ascii="Calibri" w:hAnsi="Calibri" w:cs="Calibri"/>
        </w:rPr>
      </w:pPr>
      <w:r w:rsidRPr="007A5E48">
        <w:rPr>
          <w:rFonts w:ascii="Calibri" w:hAnsi="Calibri" w:cs="Calibri"/>
          <w:b/>
          <w:bCs/>
        </w:rPr>
        <w:t>Om Hemnet</w:t>
      </w:r>
      <w:r w:rsidRPr="007A5E48">
        <w:rPr>
          <w:rFonts w:ascii="Calibri" w:hAnsi="Calibri" w:cs="Calibri"/>
          <w:b/>
          <w:bCs/>
        </w:rPr>
        <w:br/>
      </w:r>
      <w:r>
        <w:t>Hemnet är Sveriges populäraste sajt för bostadssök, med 1,4 miljoner unika besökare i veckan (v. 21, 2011) och ungefär 1 000 000 bostadsvisningar per dygn. Hemnet.se startades 1998 och ägs av Fastighetsmäklarförbundet FMF, Mäklarsamfundet, Fastighetsbyrån, Svensk Fastighetsförmedling, Dagens Nyheter och Göteborgsposten</w:t>
      </w:r>
      <w:r>
        <w:rPr>
          <w:rFonts w:ascii="Calibri" w:hAnsi="Calibri" w:cs="Calibri"/>
        </w:rPr>
        <w:t>.</w:t>
      </w:r>
    </w:p>
    <w:sectPr w:rsidR="00061E34" w:rsidRPr="00372965" w:rsidSect="002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AE41F0"/>
    <w:multiLevelType w:val="hybridMultilevel"/>
    <w:tmpl w:val="C91E3FB8"/>
    <w:lvl w:ilvl="0" w:tplc="188039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603"/>
    <w:multiLevelType w:val="hybridMultilevel"/>
    <w:tmpl w:val="E0663286"/>
    <w:lvl w:ilvl="0" w:tplc="8FE021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6A37"/>
    <w:multiLevelType w:val="hybridMultilevel"/>
    <w:tmpl w:val="2D8EFE90"/>
    <w:lvl w:ilvl="0" w:tplc="557CC6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1F07"/>
    <w:multiLevelType w:val="hybridMultilevel"/>
    <w:tmpl w:val="62B2CD94"/>
    <w:lvl w:ilvl="0" w:tplc="B24EDF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1715D"/>
    <w:multiLevelType w:val="hybridMultilevel"/>
    <w:tmpl w:val="004EF056"/>
    <w:lvl w:ilvl="0" w:tplc="FF90FE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F43A0"/>
    <w:multiLevelType w:val="hybridMultilevel"/>
    <w:tmpl w:val="755CC85E"/>
    <w:lvl w:ilvl="0" w:tplc="FBAA56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4B12"/>
    <w:multiLevelType w:val="hybridMultilevel"/>
    <w:tmpl w:val="4E08202A"/>
    <w:lvl w:ilvl="0" w:tplc="6FA20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16C8"/>
    <w:rsid w:val="0001595E"/>
    <w:rsid w:val="00050428"/>
    <w:rsid w:val="000547DF"/>
    <w:rsid w:val="00057704"/>
    <w:rsid w:val="00061E34"/>
    <w:rsid w:val="000B1262"/>
    <w:rsid w:val="000B5DD2"/>
    <w:rsid w:val="000C34D1"/>
    <w:rsid w:val="00107BA5"/>
    <w:rsid w:val="00150529"/>
    <w:rsid w:val="00186CEF"/>
    <w:rsid w:val="001A3C9E"/>
    <w:rsid w:val="001C6209"/>
    <w:rsid w:val="001E4CA6"/>
    <w:rsid w:val="00201BA1"/>
    <w:rsid w:val="0020464C"/>
    <w:rsid w:val="002231CA"/>
    <w:rsid w:val="00234938"/>
    <w:rsid w:val="00293BF2"/>
    <w:rsid w:val="002B6D81"/>
    <w:rsid w:val="002D45CD"/>
    <w:rsid w:val="002F589E"/>
    <w:rsid w:val="00331F82"/>
    <w:rsid w:val="00372965"/>
    <w:rsid w:val="00381767"/>
    <w:rsid w:val="003C45CC"/>
    <w:rsid w:val="003E3C04"/>
    <w:rsid w:val="00433CF3"/>
    <w:rsid w:val="0043719F"/>
    <w:rsid w:val="0045087B"/>
    <w:rsid w:val="00461C34"/>
    <w:rsid w:val="00470550"/>
    <w:rsid w:val="0048136E"/>
    <w:rsid w:val="004A47A8"/>
    <w:rsid w:val="004B232B"/>
    <w:rsid w:val="004C3F33"/>
    <w:rsid w:val="004D33A2"/>
    <w:rsid w:val="00511719"/>
    <w:rsid w:val="00563768"/>
    <w:rsid w:val="00564558"/>
    <w:rsid w:val="005836CA"/>
    <w:rsid w:val="005A392D"/>
    <w:rsid w:val="005E0544"/>
    <w:rsid w:val="005E2AF9"/>
    <w:rsid w:val="00641574"/>
    <w:rsid w:val="00663133"/>
    <w:rsid w:val="00664EC1"/>
    <w:rsid w:val="00683FDA"/>
    <w:rsid w:val="006A79AA"/>
    <w:rsid w:val="006E09E4"/>
    <w:rsid w:val="006F25B8"/>
    <w:rsid w:val="00711C43"/>
    <w:rsid w:val="007606A7"/>
    <w:rsid w:val="0076690E"/>
    <w:rsid w:val="00767F40"/>
    <w:rsid w:val="00783D41"/>
    <w:rsid w:val="007A6AA0"/>
    <w:rsid w:val="007C37FB"/>
    <w:rsid w:val="007D14D6"/>
    <w:rsid w:val="007E47D6"/>
    <w:rsid w:val="007E79F8"/>
    <w:rsid w:val="00807B90"/>
    <w:rsid w:val="008142F2"/>
    <w:rsid w:val="008E053E"/>
    <w:rsid w:val="008E634B"/>
    <w:rsid w:val="008F2D98"/>
    <w:rsid w:val="00932E0F"/>
    <w:rsid w:val="00933D98"/>
    <w:rsid w:val="0093507E"/>
    <w:rsid w:val="00936BD7"/>
    <w:rsid w:val="00954B15"/>
    <w:rsid w:val="00A05B09"/>
    <w:rsid w:val="00AB0769"/>
    <w:rsid w:val="00AB52F0"/>
    <w:rsid w:val="00AD452C"/>
    <w:rsid w:val="00B04FF9"/>
    <w:rsid w:val="00B158FE"/>
    <w:rsid w:val="00B375F5"/>
    <w:rsid w:val="00B537C1"/>
    <w:rsid w:val="00B822EC"/>
    <w:rsid w:val="00B97963"/>
    <w:rsid w:val="00BD761E"/>
    <w:rsid w:val="00C016C8"/>
    <w:rsid w:val="00C07E10"/>
    <w:rsid w:val="00C165B2"/>
    <w:rsid w:val="00C32443"/>
    <w:rsid w:val="00C4567A"/>
    <w:rsid w:val="00C735C3"/>
    <w:rsid w:val="00CC531F"/>
    <w:rsid w:val="00CD7F46"/>
    <w:rsid w:val="00CF4F3A"/>
    <w:rsid w:val="00D14402"/>
    <w:rsid w:val="00D765D6"/>
    <w:rsid w:val="00D94E7A"/>
    <w:rsid w:val="00DA3AB9"/>
    <w:rsid w:val="00DC3E13"/>
    <w:rsid w:val="00DD1FE6"/>
    <w:rsid w:val="00DE2FB8"/>
    <w:rsid w:val="00DE5E38"/>
    <w:rsid w:val="00E20B7A"/>
    <w:rsid w:val="00E2668C"/>
    <w:rsid w:val="00E456CA"/>
    <w:rsid w:val="00E626A2"/>
    <w:rsid w:val="00E8772E"/>
    <w:rsid w:val="00EB4C48"/>
    <w:rsid w:val="00EC73BB"/>
    <w:rsid w:val="00ED2492"/>
    <w:rsid w:val="00ED50E3"/>
    <w:rsid w:val="00EE5B7C"/>
    <w:rsid w:val="00EF5AE5"/>
    <w:rsid w:val="00F240D2"/>
    <w:rsid w:val="00F479A3"/>
    <w:rsid w:val="00F63C1A"/>
    <w:rsid w:val="00F77E65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ru v:ext="edit" colors="#b2cb7f"/>
    </o:shapedefaults>
    <o:shapelayout v:ext="edit">
      <o:idmap v:ext="edit" data="1"/>
    </o:shapelayout>
  </w:shapeDefaults>
  <w:decimalSymbol w:val=","/>
  <w:listSeparator w:val=";"/>
  <w14:docId w14:val="6BB61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74"/>
  </w:style>
  <w:style w:type="paragraph" w:styleId="Rubrik5">
    <w:name w:val="heading 5"/>
    <w:basedOn w:val="Normal"/>
    <w:link w:val="Rubrik5Char"/>
    <w:uiPriority w:val="9"/>
    <w:qFormat/>
    <w:rsid w:val="00ED5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4">
    <w:name w:val="Light Shading Accent 4"/>
    <w:basedOn w:val="Normaltabell"/>
    <w:uiPriority w:val="60"/>
    <w:rsid w:val="00107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107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stycke">
    <w:name w:val="List Paragraph"/>
    <w:basedOn w:val="Normal"/>
    <w:uiPriority w:val="34"/>
    <w:qFormat/>
    <w:rsid w:val="00BD761E"/>
    <w:pPr>
      <w:ind w:left="720"/>
      <w:contextualSpacing/>
    </w:pPr>
  </w:style>
  <w:style w:type="table" w:styleId="Ljusskuggning-dekorfrg5">
    <w:name w:val="Light Shading Accent 5"/>
    <w:basedOn w:val="Normaltabell"/>
    <w:uiPriority w:val="60"/>
    <w:rsid w:val="004C3F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4C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nk">
    <w:name w:val="Hyperlink"/>
    <w:basedOn w:val="Standardstycketypsnitt"/>
    <w:uiPriority w:val="99"/>
    <w:unhideWhenUsed/>
    <w:rsid w:val="00061E3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09E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ypsnitt"/>
    <w:link w:val="Rubrik5"/>
    <w:uiPriority w:val="9"/>
    <w:rsid w:val="00ED50E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15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ED5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4">
    <w:name w:val="Light Shading Accent 4"/>
    <w:basedOn w:val="Normaltabell"/>
    <w:uiPriority w:val="60"/>
    <w:rsid w:val="00107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107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stycke">
    <w:name w:val="List Paragraph"/>
    <w:basedOn w:val="Normal"/>
    <w:uiPriority w:val="34"/>
    <w:qFormat/>
    <w:rsid w:val="00BD761E"/>
    <w:pPr>
      <w:ind w:left="720"/>
      <w:contextualSpacing/>
    </w:pPr>
  </w:style>
  <w:style w:type="table" w:styleId="Ljusskuggning-dekorfrg5">
    <w:name w:val="Light Shading Accent 5"/>
    <w:basedOn w:val="Normaltabell"/>
    <w:uiPriority w:val="60"/>
    <w:rsid w:val="004C3F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4C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nk">
    <w:name w:val="Hyperlink"/>
    <w:basedOn w:val="Standardstycketypsnitt"/>
    <w:uiPriority w:val="99"/>
    <w:unhideWhenUsed/>
    <w:rsid w:val="00061E3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allongtext Char"/>
    <w:basedOn w:val="Standardstycketypsnitt"/>
    <w:link w:val="Bubbeltext"/>
    <w:uiPriority w:val="99"/>
    <w:semiHidden/>
    <w:rsid w:val="006E09E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ypsnitt"/>
    <w:link w:val="Rubrik5"/>
    <w:uiPriority w:val="9"/>
    <w:rsid w:val="00ED50E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15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3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19191"/>
                                <w:right w:val="none" w:sz="0" w:space="0" w:color="auto"/>
                              </w:divBdr>
                              <w:divsChild>
                                <w:div w:id="11864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ulrika.berg@hemnet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JMW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Håkansson</dc:creator>
  <cp:lastModifiedBy>Erika Hornberger</cp:lastModifiedBy>
  <cp:revision>3</cp:revision>
  <cp:lastPrinted>2011-11-03T09:04:00Z</cp:lastPrinted>
  <dcterms:created xsi:type="dcterms:W3CDTF">2011-11-03T09:04:00Z</dcterms:created>
  <dcterms:modified xsi:type="dcterms:W3CDTF">2011-11-03T09:17:00Z</dcterms:modified>
</cp:coreProperties>
</file>